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firstLine="880"/>
      </w:pPr>
    </w:p>
    <w:p>
      <w:pPr>
        <w:spacing w:line="560" w:lineRule="exact"/>
        <w:outlineLvl w:val="0"/>
        <w:rPr>
          <w:rFonts w:ascii="黑体" w:hAnsi="黑体" w:eastAsia="黑体" w:cs="黑体"/>
          <w:color w:val="000000" w:themeColor="text1"/>
          <w:sz w:val="32"/>
          <w:szCs w:val="32"/>
        </w:rPr>
      </w:pPr>
      <w:bookmarkStart w:id="2" w:name="_GoBack"/>
      <w:bookmarkEnd w:id="2"/>
      <w:bookmarkStart w:id="0" w:name="_Hlk160566702"/>
      <w:r>
        <w:rPr>
          <w:rFonts w:hint="eastAsia" w:ascii="黑体" w:hAnsi="黑体" w:eastAsia="黑体" w:cs="黑体"/>
          <w:color w:val="000000" w:themeColor="text1"/>
          <w:sz w:val="32"/>
          <w:szCs w:val="32"/>
        </w:rPr>
        <w:t>附件2　</w:t>
      </w:r>
    </w:p>
    <w:p>
      <w:pPr>
        <w:spacing w:after="156" w:afterLines="50" w:line="560" w:lineRule="exact"/>
        <w:ind w:firstLine="720"/>
        <w:jc w:val="center"/>
        <w:outlineLvl w:val="0"/>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产业学院绩效评价指标体系</w:t>
      </w:r>
    </w:p>
    <w:bookmarkEnd w:id="0"/>
    <w:tbl>
      <w:tblPr>
        <w:tblStyle w:val="10"/>
        <w:tblW w:w="5565" w:type="pct"/>
        <w:tblInd w:w="-7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392"/>
        <w:gridCol w:w="1676"/>
        <w:gridCol w:w="5836"/>
        <w:gridCol w:w="486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20" w:type="pct"/>
            <w:vMerge w:val="restart"/>
            <w:vAlign w:val="center"/>
          </w:tcPr>
          <w:p>
            <w:pPr>
              <w:spacing w:before="78" w:beforeLines="25" w:after="78" w:afterLines="25" w:line="400" w:lineRule="exact"/>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序号</w:t>
            </w:r>
          </w:p>
        </w:tc>
        <w:tc>
          <w:tcPr>
            <w:tcW w:w="4363" w:type="pct"/>
            <w:gridSpan w:val="4"/>
            <w:vAlign w:val="center"/>
          </w:tcPr>
          <w:p>
            <w:pPr>
              <w:spacing w:before="78" w:beforeLines="25" w:after="78" w:afterLines="25" w:line="400" w:lineRule="exact"/>
              <w:ind w:firstLine="562"/>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指标体系</w:t>
            </w:r>
          </w:p>
        </w:tc>
        <w:tc>
          <w:tcPr>
            <w:tcW w:w="315" w:type="pct"/>
            <w:vMerge w:val="restart"/>
            <w:vAlign w:val="center"/>
          </w:tcPr>
          <w:p>
            <w:pPr>
              <w:spacing w:line="560" w:lineRule="exact"/>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20" w:type="pct"/>
            <w:vMerge w:val="continue"/>
            <w:vAlign w:val="center"/>
          </w:tcPr>
          <w:p>
            <w:pPr>
              <w:spacing w:before="78" w:beforeLines="25" w:after="78" w:afterLines="25" w:line="400" w:lineRule="exact"/>
              <w:ind w:firstLine="560"/>
              <w:jc w:val="center"/>
              <w:rPr>
                <w:rFonts w:ascii="仿宋_GB2312" w:hAnsi="仿宋_GB2312" w:eastAsia="仿宋_GB2312" w:cs="仿宋_GB2312"/>
                <w:color w:val="000000" w:themeColor="text1"/>
                <w:sz w:val="28"/>
                <w:szCs w:val="28"/>
              </w:rPr>
            </w:pPr>
          </w:p>
        </w:tc>
        <w:tc>
          <w:tcPr>
            <w:tcW w:w="441" w:type="pct"/>
            <w:vAlign w:val="center"/>
          </w:tcPr>
          <w:p>
            <w:pPr>
              <w:spacing w:before="78" w:beforeLines="25" w:after="78" w:afterLines="25" w:line="400" w:lineRule="exact"/>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一级指标</w:t>
            </w:r>
          </w:p>
        </w:tc>
        <w:tc>
          <w:tcPr>
            <w:tcW w:w="531" w:type="pct"/>
            <w:vAlign w:val="center"/>
          </w:tcPr>
          <w:p>
            <w:pPr>
              <w:spacing w:before="78" w:beforeLines="25" w:after="78" w:afterLines="25" w:line="400" w:lineRule="exact"/>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二级指标</w:t>
            </w:r>
          </w:p>
        </w:tc>
        <w:tc>
          <w:tcPr>
            <w:tcW w:w="1849" w:type="pct"/>
            <w:vAlign w:val="center"/>
          </w:tcPr>
          <w:p>
            <w:pPr>
              <w:spacing w:before="78" w:beforeLines="25" w:after="78" w:afterLines="25" w:line="400" w:lineRule="exact"/>
              <w:ind w:firstLine="562"/>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绩效评价要点（初级阶段）</w:t>
            </w:r>
          </w:p>
        </w:tc>
        <w:tc>
          <w:tcPr>
            <w:tcW w:w="1541" w:type="pct"/>
            <w:vAlign w:val="center"/>
          </w:tcPr>
          <w:p>
            <w:pPr>
              <w:spacing w:before="78" w:beforeLines="25" w:after="78" w:afterLines="25" w:line="400" w:lineRule="exact"/>
              <w:ind w:firstLine="562"/>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绩效评价要点（高级阶段）</w:t>
            </w:r>
          </w:p>
        </w:tc>
        <w:tc>
          <w:tcPr>
            <w:tcW w:w="315" w:type="pct"/>
            <w:vMerge w:val="continue"/>
            <w:vAlign w:val="center"/>
          </w:tcPr>
          <w:p>
            <w:pPr>
              <w:spacing w:line="560" w:lineRule="exact"/>
              <w:ind w:firstLine="560"/>
              <w:jc w:val="center"/>
              <w:rPr>
                <w:rFonts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320"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w:t>
            </w:r>
          </w:p>
        </w:tc>
        <w:tc>
          <w:tcPr>
            <w:tcW w:w="44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专业建设</w:t>
            </w:r>
          </w:p>
        </w:tc>
        <w:tc>
          <w:tcPr>
            <w:tcW w:w="53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培育产教融合型专业</w:t>
            </w:r>
          </w:p>
        </w:tc>
        <w:tc>
          <w:tcPr>
            <w:tcW w:w="1849"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1.专业设置与产业需求高度契合。</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2.成立校企合作的专业建设指导委员会。</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3.校企共同制订人才培养方案，方案能够体现专业教学标准与行业标准和企业需求，企业资源能够支撑培养方案的实现。</w:t>
            </w:r>
          </w:p>
        </w:tc>
        <w:tc>
          <w:tcPr>
            <w:tcW w:w="1541"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建立校企合作专业资源库。学校和企业共建共享资源库，资源库内容与实际生产相接轨，能够支持企业各个岗位新员工技能培训。</w:t>
            </w:r>
          </w:p>
        </w:tc>
        <w:tc>
          <w:tcPr>
            <w:tcW w:w="315" w:type="pct"/>
            <w:vAlign w:val="center"/>
          </w:tcPr>
          <w:p>
            <w:pPr>
              <w:spacing w:line="56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0"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w:t>
            </w:r>
          </w:p>
        </w:tc>
        <w:tc>
          <w:tcPr>
            <w:tcW w:w="44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课程建设</w:t>
            </w:r>
          </w:p>
        </w:tc>
        <w:tc>
          <w:tcPr>
            <w:tcW w:w="53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校企共建课程</w:t>
            </w:r>
          </w:p>
        </w:tc>
        <w:tc>
          <w:tcPr>
            <w:tcW w:w="1849"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4.校企共同制定课程标准，融入了行业标准，能够及时将产业新技术、新工艺、新规范、新标准纳入教学标准。</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5.课程内容与生产流程、项目开发等产业需求合理对接。</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6.建设了一批校企合作课程和活页式、手册式教材。</w:t>
            </w:r>
          </w:p>
        </w:tc>
        <w:tc>
          <w:tcPr>
            <w:tcW w:w="1541"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推出了一批职业教育校企合作课程与教学改革案例集。</w:t>
            </w:r>
          </w:p>
        </w:tc>
        <w:tc>
          <w:tcPr>
            <w:tcW w:w="315" w:type="pct"/>
            <w:vAlign w:val="center"/>
          </w:tcPr>
          <w:p>
            <w:pPr>
              <w:spacing w:line="56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0"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w:t>
            </w:r>
          </w:p>
        </w:tc>
        <w:tc>
          <w:tcPr>
            <w:tcW w:w="44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实习实践平台建设</w:t>
            </w:r>
          </w:p>
        </w:tc>
        <w:tc>
          <w:tcPr>
            <w:tcW w:w="53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校企共建实习实践基地</w:t>
            </w:r>
          </w:p>
        </w:tc>
        <w:tc>
          <w:tcPr>
            <w:tcW w:w="1849"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7.校企合作建立了校内外生产性实践基地。</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8.基地在功能上既承担学生毕业前的实习，又承担某些技能的实训，或暑期安排学生到企业顶岗或跟班实践；在容量上能够满足校企合作订单班实习实践需要。</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9.基地的运行中，既安排了企业指导教师，也安排了高校专职教师深入企业一线，承生实训实习指导、参与企业工作、开展企业职工培训、人事企业技术研发等任务。</w:t>
            </w:r>
          </w:p>
        </w:tc>
        <w:tc>
          <w:tcPr>
            <w:tcW w:w="1541"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校企合作建立开放型产教融合实践中心，其功能兼具学生实践、社会培训和技术研发等。</w:t>
            </w:r>
          </w:p>
        </w:tc>
        <w:tc>
          <w:tcPr>
            <w:tcW w:w="315" w:type="pct"/>
            <w:vAlign w:val="center"/>
          </w:tcPr>
          <w:p>
            <w:pPr>
              <w:spacing w:line="56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320"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w:t>
            </w:r>
          </w:p>
        </w:tc>
        <w:tc>
          <w:tcPr>
            <w:tcW w:w="44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师资队伍建设</w:t>
            </w:r>
          </w:p>
        </w:tc>
        <w:tc>
          <w:tcPr>
            <w:tcW w:w="53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培养“双师双能型”教师队伍</w:t>
            </w:r>
          </w:p>
        </w:tc>
        <w:tc>
          <w:tcPr>
            <w:tcW w:w="1849"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10.建立校企导师联合授课、联合指导激励机制。</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11.专业教师中“双师双能型”教师比例达到70%。</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12.建设了一支校企混合的学生实践指导队伍。</w:t>
            </w:r>
            <w:bookmarkStart w:id="1" w:name="_Hlk160181740"/>
            <w:r>
              <w:rPr>
                <w:rFonts w:hint="eastAsia" w:ascii="仿宋_GB2312" w:hAnsi="仿宋_GB2312" w:eastAsia="仿宋_GB2312" w:cs="仿宋_GB2312"/>
                <w:color w:val="000000" w:themeColor="text1"/>
                <w:sz w:val="28"/>
                <w:szCs w:val="28"/>
              </w:rPr>
              <w:t>相关企业主体配备的兼职教师数量与校企合作培养的学生规模匹配（生师比≥20:1）</w:t>
            </w:r>
            <w:bookmarkEnd w:id="1"/>
            <w:r>
              <w:rPr>
                <w:rFonts w:hint="eastAsia" w:ascii="仿宋_GB2312" w:hAnsi="仿宋_GB2312" w:eastAsia="仿宋_GB2312" w:cs="仿宋_GB2312"/>
                <w:color w:val="000000" w:themeColor="text1"/>
                <w:sz w:val="28"/>
                <w:szCs w:val="28"/>
              </w:rPr>
              <w:t>。</w:t>
            </w:r>
          </w:p>
        </w:tc>
        <w:tc>
          <w:tcPr>
            <w:tcW w:w="1541"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具有相对稳定的高水平教学团队；建设了一批名师“工作坊”和大师工作室。</w:t>
            </w:r>
          </w:p>
        </w:tc>
        <w:tc>
          <w:tcPr>
            <w:tcW w:w="315" w:type="pct"/>
            <w:vAlign w:val="center"/>
          </w:tcPr>
          <w:p>
            <w:pPr>
              <w:spacing w:line="56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320"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w:t>
            </w:r>
          </w:p>
        </w:tc>
        <w:tc>
          <w:tcPr>
            <w:tcW w:w="44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人才培养模式创新</w:t>
            </w:r>
          </w:p>
        </w:tc>
        <w:tc>
          <w:tcPr>
            <w:tcW w:w="53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探索现代学徒制培养模式</w:t>
            </w:r>
          </w:p>
        </w:tc>
        <w:tc>
          <w:tcPr>
            <w:tcW w:w="1849"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13.设立了校企合作订单班。</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14.专业开展“三实”教学（即实景、实操、实地）。</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15.构建了以“工学结合”为特征的现代学徒制培养模式。专业教学计划中分阶段安排与企业联合开展的实习实践时间累计达到1学年，企业兼职教师任教学时不低于专业人才培养方案总学时的20%。</w:t>
            </w:r>
          </w:p>
        </w:tc>
        <w:tc>
          <w:tcPr>
            <w:tcW w:w="1541" w:type="pct"/>
            <w:vAlign w:val="center"/>
          </w:tcPr>
          <w:p>
            <w:pPr>
              <w:spacing w:before="78" w:beforeLines="25" w:after="78" w:afterLines="25" w:line="400" w:lineRule="exact"/>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形成一批“工学结合”人才培养模式改革创新典型案例。</w:t>
            </w:r>
          </w:p>
        </w:tc>
        <w:tc>
          <w:tcPr>
            <w:tcW w:w="315" w:type="pct"/>
            <w:vAlign w:val="center"/>
          </w:tcPr>
          <w:p>
            <w:pPr>
              <w:spacing w:line="56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320"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w:t>
            </w:r>
          </w:p>
        </w:tc>
        <w:tc>
          <w:tcPr>
            <w:tcW w:w="44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治理体系建设</w:t>
            </w:r>
          </w:p>
        </w:tc>
        <w:tc>
          <w:tcPr>
            <w:tcW w:w="531" w:type="pct"/>
            <w:vAlign w:val="center"/>
          </w:tcPr>
          <w:p>
            <w:pPr>
              <w:spacing w:before="78" w:beforeLines="25" w:after="78" w:afterLines="25" w:line="40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建立多元主体共建共管体制</w:t>
            </w:r>
          </w:p>
        </w:tc>
        <w:tc>
          <w:tcPr>
            <w:tcW w:w="1849" w:type="pct"/>
            <w:vAlign w:val="center"/>
          </w:tcPr>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16.产业学院成立理事会作为决策机构，制定了理事会章程且实际执行。</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17.产业学院成立专家指导委员会作为决策咨询机构。</w:t>
            </w:r>
          </w:p>
          <w:p>
            <w:pPr>
              <w:spacing w:before="78" w:beforeLines="25" w:after="78" w:afterLines="25"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18.产业学院下设院长办公室和教务管理办公室，负责主持和推进产业学院日常工作。</w:t>
            </w:r>
          </w:p>
        </w:tc>
        <w:tc>
          <w:tcPr>
            <w:tcW w:w="1541" w:type="pct"/>
            <w:vAlign w:val="center"/>
          </w:tcPr>
          <w:p>
            <w:pPr>
              <w:spacing w:before="78" w:beforeLines="25" w:after="78" w:afterLines="25" w:line="400" w:lineRule="exact"/>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形成了比较成熟的产业学院管理制度和体制机制。</w:t>
            </w:r>
          </w:p>
        </w:tc>
        <w:tc>
          <w:tcPr>
            <w:tcW w:w="315" w:type="pct"/>
            <w:vAlign w:val="center"/>
          </w:tcPr>
          <w:p>
            <w:pPr>
              <w:spacing w:line="56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10%</w:t>
            </w:r>
          </w:p>
        </w:tc>
      </w:tr>
    </w:tbl>
    <w:p>
      <w:pPr>
        <w:spacing w:line="560" w:lineRule="exact"/>
        <w:rPr>
          <w:rFonts w:ascii="仿宋_GB2312" w:hAnsi="仿宋_GB2312" w:eastAsia="仿宋_GB2312" w:cs="仿宋_GB2312"/>
          <w:color w:val="000000" w:themeColor="text1"/>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A345D2-A80E-4131-8B16-6816FAD78B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C3621FD-8738-40B9-B6CD-DF0033A90242}"/>
  </w:font>
  <w:font w:name="方正小标宋简体">
    <w:panose1 w:val="03000509000000000000"/>
    <w:charset w:val="86"/>
    <w:family w:val="script"/>
    <w:pitch w:val="default"/>
    <w:sig w:usb0="00000001" w:usb1="080E0000" w:usb2="00000000" w:usb3="00000000" w:csb0="00040000" w:csb1="00000000"/>
    <w:embedRegular r:id="rId3" w:fontKey="{7DA5E83E-11AC-44E4-8D37-95A97461624C}"/>
  </w:font>
  <w:font w:name="Impact">
    <w:panose1 w:val="020B0806030902050204"/>
    <w:charset w:val="00"/>
    <w:family w:val="swiss"/>
    <w:pitch w:val="default"/>
    <w:sig w:usb0="00000287" w:usb1="00000000" w:usb2="00000000" w:usb3="00000000" w:csb0="2000009F" w:csb1="DFD70000"/>
  </w:font>
  <w:font w:name="仿宋_GB2312">
    <w:altName w:val="仿宋"/>
    <w:panose1 w:val="00000000000000000000"/>
    <w:charset w:val="86"/>
    <w:family w:val="auto"/>
    <w:pitch w:val="default"/>
    <w:sig w:usb0="00000000" w:usb1="00000000" w:usb2="00000000" w:usb3="00000000" w:csb0="00040000" w:csb1="00000000"/>
    <w:embedRegular r:id="rId4" w:fontKey="{3EBBBF73-82C5-47DE-A24A-57A8C8F152B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48224"/>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iOTJiMmVmYWJkZDUwMzBkZGY4YzRkMWE2ODM3MjEifQ=="/>
  </w:docVars>
  <w:rsids>
    <w:rsidRoot w:val="00D24D4D"/>
    <w:rsid w:val="00075628"/>
    <w:rsid w:val="0009444F"/>
    <w:rsid w:val="000B4272"/>
    <w:rsid w:val="000C5C35"/>
    <w:rsid w:val="001055BB"/>
    <w:rsid w:val="001062DA"/>
    <w:rsid w:val="00124329"/>
    <w:rsid w:val="0013552A"/>
    <w:rsid w:val="00153F6F"/>
    <w:rsid w:val="0017026C"/>
    <w:rsid w:val="00173904"/>
    <w:rsid w:val="00213864"/>
    <w:rsid w:val="0023403D"/>
    <w:rsid w:val="00234C22"/>
    <w:rsid w:val="002362B2"/>
    <w:rsid w:val="00243EFB"/>
    <w:rsid w:val="002814AE"/>
    <w:rsid w:val="00294C8B"/>
    <w:rsid w:val="00304677"/>
    <w:rsid w:val="00320106"/>
    <w:rsid w:val="00332574"/>
    <w:rsid w:val="003334B5"/>
    <w:rsid w:val="0037099C"/>
    <w:rsid w:val="00372D27"/>
    <w:rsid w:val="0038342B"/>
    <w:rsid w:val="00392C51"/>
    <w:rsid w:val="003A4EF7"/>
    <w:rsid w:val="003B31F5"/>
    <w:rsid w:val="003B55B9"/>
    <w:rsid w:val="003B76F5"/>
    <w:rsid w:val="003C5FC6"/>
    <w:rsid w:val="003E1835"/>
    <w:rsid w:val="003F1D43"/>
    <w:rsid w:val="00426E00"/>
    <w:rsid w:val="00466139"/>
    <w:rsid w:val="004735DA"/>
    <w:rsid w:val="004827D7"/>
    <w:rsid w:val="00482F19"/>
    <w:rsid w:val="0049581C"/>
    <w:rsid w:val="004A65A0"/>
    <w:rsid w:val="004D655C"/>
    <w:rsid w:val="004E0539"/>
    <w:rsid w:val="004F0EDE"/>
    <w:rsid w:val="00533D9A"/>
    <w:rsid w:val="00543EFF"/>
    <w:rsid w:val="00544E83"/>
    <w:rsid w:val="00563153"/>
    <w:rsid w:val="005856A2"/>
    <w:rsid w:val="0059279F"/>
    <w:rsid w:val="005A1B63"/>
    <w:rsid w:val="005A4EEF"/>
    <w:rsid w:val="005D4879"/>
    <w:rsid w:val="005E607E"/>
    <w:rsid w:val="005E7FC4"/>
    <w:rsid w:val="005F09C5"/>
    <w:rsid w:val="00617E17"/>
    <w:rsid w:val="0063161F"/>
    <w:rsid w:val="00640668"/>
    <w:rsid w:val="00644FE9"/>
    <w:rsid w:val="00653892"/>
    <w:rsid w:val="00684C0A"/>
    <w:rsid w:val="006853C8"/>
    <w:rsid w:val="00686FD1"/>
    <w:rsid w:val="00695E37"/>
    <w:rsid w:val="00697C75"/>
    <w:rsid w:val="006A2E37"/>
    <w:rsid w:val="006B0000"/>
    <w:rsid w:val="006B0C7B"/>
    <w:rsid w:val="006C30F3"/>
    <w:rsid w:val="006C72B2"/>
    <w:rsid w:val="00716032"/>
    <w:rsid w:val="007414AA"/>
    <w:rsid w:val="00751E2A"/>
    <w:rsid w:val="00752360"/>
    <w:rsid w:val="0075404B"/>
    <w:rsid w:val="007564AC"/>
    <w:rsid w:val="00760387"/>
    <w:rsid w:val="007668A6"/>
    <w:rsid w:val="00780420"/>
    <w:rsid w:val="007A037F"/>
    <w:rsid w:val="007A18B5"/>
    <w:rsid w:val="007A5E4F"/>
    <w:rsid w:val="007B07D8"/>
    <w:rsid w:val="007D23C5"/>
    <w:rsid w:val="007D34BE"/>
    <w:rsid w:val="007D4956"/>
    <w:rsid w:val="00802C1A"/>
    <w:rsid w:val="00823917"/>
    <w:rsid w:val="008524CD"/>
    <w:rsid w:val="008934CC"/>
    <w:rsid w:val="00897186"/>
    <w:rsid w:val="008A0242"/>
    <w:rsid w:val="008D15ED"/>
    <w:rsid w:val="008D571D"/>
    <w:rsid w:val="008E24AB"/>
    <w:rsid w:val="009200D4"/>
    <w:rsid w:val="00932E2C"/>
    <w:rsid w:val="00993F2E"/>
    <w:rsid w:val="00997774"/>
    <w:rsid w:val="009B045C"/>
    <w:rsid w:val="009B6D9E"/>
    <w:rsid w:val="009C5A2E"/>
    <w:rsid w:val="009F1330"/>
    <w:rsid w:val="00A61117"/>
    <w:rsid w:val="00A84B8B"/>
    <w:rsid w:val="00A94588"/>
    <w:rsid w:val="00AA6F7A"/>
    <w:rsid w:val="00AB60EA"/>
    <w:rsid w:val="00AB7613"/>
    <w:rsid w:val="00AC4078"/>
    <w:rsid w:val="00AF26D3"/>
    <w:rsid w:val="00AF3A14"/>
    <w:rsid w:val="00B2615F"/>
    <w:rsid w:val="00B31736"/>
    <w:rsid w:val="00B55989"/>
    <w:rsid w:val="00B739D1"/>
    <w:rsid w:val="00BA0675"/>
    <w:rsid w:val="00BD198F"/>
    <w:rsid w:val="00BD4176"/>
    <w:rsid w:val="00BE09ED"/>
    <w:rsid w:val="00BE39FE"/>
    <w:rsid w:val="00BF422D"/>
    <w:rsid w:val="00C01745"/>
    <w:rsid w:val="00C03E4F"/>
    <w:rsid w:val="00C36589"/>
    <w:rsid w:val="00C375E3"/>
    <w:rsid w:val="00C550EB"/>
    <w:rsid w:val="00C941CA"/>
    <w:rsid w:val="00CB3E8D"/>
    <w:rsid w:val="00CF0E13"/>
    <w:rsid w:val="00D075D3"/>
    <w:rsid w:val="00D130A6"/>
    <w:rsid w:val="00D15AAF"/>
    <w:rsid w:val="00D24D4D"/>
    <w:rsid w:val="00D60665"/>
    <w:rsid w:val="00D675AE"/>
    <w:rsid w:val="00D73FD2"/>
    <w:rsid w:val="00D77144"/>
    <w:rsid w:val="00DB59D8"/>
    <w:rsid w:val="00DE4FCF"/>
    <w:rsid w:val="00E10283"/>
    <w:rsid w:val="00E1120F"/>
    <w:rsid w:val="00E11C1C"/>
    <w:rsid w:val="00E13084"/>
    <w:rsid w:val="00E14CE4"/>
    <w:rsid w:val="00E25106"/>
    <w:rsid w:val="00E35862"/>
    <w:rsid w:val="00E63B7B"/>
    <w:rsid w:val="00E86A3A"/>
    <w:rsid w:val="00E976E0"/>
    <w:rsid w:val="00EA096E"/>
    <w:rsid w:val="00ED7FE5"/>
    <w:rsid w:val="00F077D3"/>
    <w:rsid w:val="00F14137"/>
    <w:rsid w:val="00F241B0"/>
    <w:rsid w:val="00F354C1"/>
    <w:rsid w:val="00F44BC3"/>
    <w:rsid w:val="00F50DD3"/>
    <w:rsid w:val="00F5169B"/>
    <w:rsid w:val="00F51BB1"/>
    <w:rsid w:val="00FA52CA"/>
    <w:rsid w:val="00FA660F"/>
    <w:rsid w:val="00FD74F6"/>
    <w:rsid w:val="00FE2690"/>
    <w:rsid w:val="00FF362B"/>
    <w:rsid w:val="054971EC"/>
    <w:rsid w:val="296A7FBA"/>
    <w:rsid w:val="439A46E3"/>
    <w:rsid w:val="56220EDD"/>
    <w:rsid w:val="573214BA"/>
    <w:rsid w:val="60C3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22"/>
      <w:ind w:left="116"/>
      <w:outlineLvl w:val="0"/>
    </w:pPr>
    <w:rPr>
      <w:rFonts w:ascii="宋体" w:hAnsi="宋体" w:eastAsia="宋体" w:cs="宋体"/>
      <w:b/>
      <w:bCs/>
      <w:sz w:val="36"/>
      <w:szCs w:val="36"/>
      <w:lang w:val="zh-CN" w:bidi="zh-CN"/>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ody Text"/>
    <w:basedOn w:val="1"/>
    <w:qFormat/>
    <w:uiPriority w:val="0"/>
    <w:rPr>
      <w:rFonts w:ascii="等线" w:hAnsi="等线" w:eastAsia="等线" w:cs="等线"/>
      <w:sz w:val="32"/>
      <w:szCs w:val="32"/>
    </w:r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paragraph" w:customStyle="1" w:styleId="16">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11"/>
    <w:link w:val="3"/>
    <w:semiHidden/>
    <w:qFormat/>
    <w:uiPriority w:val="99"/>
    <w:rPr>
      <w:kern w:val="2"/>
      <w:sz w:val="21"/>
      <w:szCs w:val="22"/>
    </w:rPr>
  </w:style>
  <w:style w:type="character" w:customStyle="1" w:styleId="18">
    <w:name w:val="批注主题 字符"/>
    <w:basedOn w:val="17"/>
    <w:link w:val="8"/>
    <w:semiHidden/>
    <w:qFormat/>
    <w:uiPriority w:val="99"/>
    <w:rPr>
      <w:b/>
      <w:bCs/>
      <w:kern w:val="2"/>
      <w:sz w:val="21"/>
      <w:szCs w:val="22"/>
    </w:rPr>
  </w:style>
  <w:style w:type="character" w:customStyle="1" w:styleId="19">
    <w:name w:val="批注框文本 字符"/>
    <w:basedOn w:val="11"/>
    <w:link w:val="5"/>
    <w:semiHidden/>
    <w:qFormat/>
    <w:uiPriority w:val="99"/>
    <w:rPr>
      <w:kern w:val="2"/>
      <w:sz w:val="18"/>
      <w:szCs w:val="18"/>
    </w:rPr>
  </w:style>
  <w:style w:type="paragraph" w:customStyle="1" w:styleId="20">
    <w:name w:val="BodyText"/>
    <w:basedOn w:val="1"/>
    <w:qFormat/>
    <w:uiPriority w:val="0"/>
    <w:pPr>
      <w:spacing w:line="540" w:lineRule="exact"/>
    </w:pPr>
    <w:rPr>
      <w:rFonts w:ascii="Calibri" w:hAnsi="Calibri" w:eastAsia="方正小标宋简体" w:cs="Times New Roman"/>
      <w:sz w:val="44"/>
      <w:szCs w:val="24"/>
    </w:rPr>
  </w:style>
  <w:style w:type="character" w:customStyle="1" w:styleId="21">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699</Words>
  <Characters>3985</Characters>
  <Lines>33</Lines>
  <Paragraphs>9</Paragraphs>
  <TotalTime>11</TotalTime>
  <ScaleCrop>false</ScaleCrop>
  <LinksUpToDate>false</LinksUpToDate>
  <CharactersWithSpaces>4675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2023-10-29T02:44:00Z</dcterms:created>
  <dc:creator>w c</dc:creator>
  <cp:lastModifiedBy>WPS_1698671983</cp:lastModifiedBy>
  <cp:lastPrinted>2024-03-19T02:50:00Z</cp:lastPrinted>
  <dcterms:modified xsi:type="dcterms:W3CDTF">2024-06-28T02:02:44Z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42E019E0B58F440CBFE53684B4B8E4B5_12</vt:lpwstr>
  </property>
</Properties>
</file>